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3216376</wp:posOffset>
                </wp:positionH>
                <wp:positionV relativeFrom="line">
                  <wp:posOffset>2540</wp:posOffset>
                </wp:positionV>
                <wp:extent cx="3635274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274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Great I AM - Behold Your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Selected Passages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3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3.3pt;margin-top:0.2pt;width:286.2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Great I AM - Behold Your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Selected Passages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3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17:3 -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this is eternal life, that they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know You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the only true God, and Jesus Christ whom You have sent.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Jeremiah 9:1-3, 4-6, 23 -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I. BEHOLD YOUR GOD: PREPARING FOR THE JOURNEY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Knowing the truth about God is essential but it is not _________________.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50:21 -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you thought that I was one like yourself. But now I rebuke you and lay the charge before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If you pursue the knowledge of God simply for sake of acquiring more knowledge, it will disappoint you, it will spoil you, and it will ultimately _______ you. (1 Corinthians 8:1)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Knowledge of God is not a theoretical concern, it is a very personal and ______________ one.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Job 42:5-6 -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I had heard of you by the hearing of the ear, but now my eye sees You; therefore I despise myself, and repent in dust and ashes.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2) 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impossible to truly know God unless God ____________ to make Himself known.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God has revealed Himself, partly, through ______________.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Psalm 19:1; Romans 1:20 -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Through Jesus Christ we have the ______________ expression of God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revealing of Himself.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14:9; 8:19; 8:31-32; Hebrews 1:3; Romans 10:13; 1 Corinthians 12:3 -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Self-Existence of God - The Eternality &amp; Infinity (Infinitude) of God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Self-Sufficiency &amp; Spirituality (Immaterial Nature)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Holiness &amp; Transcendence of God - The Triunity of God - The Omniscience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Omnipresence of God - The Omnipotence of God - The Sovereignty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Wisdom &amp; Truthfulness of God - The Goodness &amp; Faithfulness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The Mercy &amp; Grace of God - The Love &amp; Jealousy of God - The Righteousness &amp; Justice of God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- The Anger &amp; Wrath of God - The Glory &amp; Majesty of God </w:t>
      </w:r>
      <w:r>
        <w:rPr>
          <w:rFonts w:ascii="Arial" w:hAnsi="Arial"/>
          <w:sz w:val="24"/>
          <w:szCs w:val="24"/>
          <w:rtl w:val="0"/>
          <w:lang w:val="en-US"/>
        </w:rPr>
        <w:t xml:space="preserve">- The Immutability of God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Each week, we want to do three things: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#1 - We want to present a clear definition.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#2 - We want to illustrate these attributes from Scripture.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#3 - We want to ask the question: What does this mean for us?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There are some attributes of God that have no parallel or comparison in creation. We call these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incommunicable attributes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They belong to God 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There are some attributes of God that do have some parallel or comparison in creation. We call these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communicable attributes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As image bearers of God, we are to ____________ these attributes.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When we speak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attributes, we are speaking of who God is. God does not lose or add attributes; God cannot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improve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Himself, and His attributes are never at __________ within Himself.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3:13-15 -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3) No matter how much we know of God, there will always be _______________ more to know.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Charles Spurgeon -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If we could understand God, he would not be God, for it is a part of the nature of God that he should be infinitely greater than any created mind.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Psalm 145:3; Psalm 147:5; Ephesians 3:8; Ephesians 3:19 -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should someone want to know more about God? What are some dangers associated with acquiring more knowledge?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has God made Himself known? How can a person know God?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you agree with Tozer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comment: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What comes into our minds when we think about God is the most important thing about us.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 Why or why not?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can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we fully/completely understand and comprehend God?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According to Philippians 3:7-11, what kind of emphasis did Paul place on knowing Jesus? What would Paul gladly give up in order to know Christ? What must you give up to know Christ?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According to Exodus 3:13-15, what is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memorial name? What does this teach us about God?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