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46D02" w14:textId="318B1976" w:rsidR="00E5012A" w:rsidRPr="000A7EDD" w:rsidRDefault="004F5006" w:rsidP="0062264D">
      <w:pPr>
        <w:pStyle w:val="Body"/>
        <w:spacing w:line="288" w:lineRule="auto"/>
        <w:rPr>
          <w:rFonts w:eastAsia="Times New Roman" w:cs="Calibri"/>
          <w:b/>
          <w:bCs/>
          <w:sz w:val="20"/>
          <w:szCs w:val="20"/>
        </w:rPr>
      </w:pPr>
      <w:r w:rsidRPr="000A7EDD">
        <w:rPr>
          <w:rFonts w:cs="Calibri"/>
          <w:noProof/>
        </w:rPr>
        <w:drawing>
          <wp:anchor distT="57150" distB="57150" distL="57150" distR="57150" simplePos="0" relativeHeight="251661312" behindDoc="0" locked="0" layoutInCell="1" allowOverlap="1" wp14:anchorId="4DE2E847" wp14:editId="656D4AEA">
            <wp:simplePos x="0" y="0"/>
            <wp:positionH relativeFrom="column">
              <wp:posOffset>15292</wp:posOffset>
            </wp:positionH>
            <wp:positionV relativeFrom="line">
              <wp:posOffset>80871</wp:posOffset>
            </wp:positionV>
            <wp:extent cx="2153920" cy="931545"/>
            <wp:effectExtent l="0" t="0" r="508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3920" cy="931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0648E2CE" wp14:editId="42CC7DA9">
                <wp:simplePos x="0" y="0"/>
                <wp:positionH relativeFrom="column">
                  <wp:posOffset>2581275</wp:posOffset>
                </wp:positionH>
                <wp:positionV relativeFrom="line">
                  <wp:posOffset>114300</wp:posOffset>
                </wp:positionV>
                <wp:extent cx="62230" cy="819150"/>
                <wp:effectExtent l="0" t="0" r="1270" b="635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" cy="81915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183E" id="officeArt object" o:spid="_x0000_s1026" alt="Rectangle 3" style="position:absolute;margin-left:203.25pt;margin-top:9pt;width:4.9pt;height:64.5pt;z-index:251659264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mLwwEAAGIDAAAOAAAAZHJzL2Uyb0RvYy54bWysU9tuEzEQfUfiHyy/k72k7aarbCqgKi8I&#10;Klo+YOLLrpFvsk02+XvGzhIKvCH2wTvjGR+fOTPe3h2NJgcRonJ2oM2qpkRY5riy40C/Pj+82VAS&#10;E1gO2lkx0JOI9G73+tV29r1o3eQ0F4EgiI397Ac6peT7qopsEgbiynlhMShdMJDQDWPFA8yIbnTV&#10;1vVNNbvAfXBMxIi79+cg3RV8KQVLn6WMIhE9UOSWyhrKus9rtdtCPwbwk2ILDfgHFgaUxUsvUPeQ&#10;gHwP6i8oo1hw0cm0Ys5UTkrFRKkBq2nqP6p5msCLUguKE/1Fpvj/YNmnw2MgimPv6m7dXTWb9poS&#10;CwZ7dWb3NiTi9t9QSUq4iAzF+4IO2FELss4Czj72iPPkH8PiRTSzGkcZTP4jEjkW0U8X0cUxEYab&#10;N227xs4wjGya2+a69KT6ddaHmD4IZ0g2BhoykYwJh48x4X2Y+jMlb0enFX9QWhcnjPv3OpAD5PY3&#10;Xfeuy4TxyG9p2pIZBWi7OhMBHEOp4XyLdRkLz0BvVMJR1coM9KrO3wKlbY6KMmwLpazIWYNs7R0/&#10;FWmq7GEjC4Nl6PKkvPTRfvk0dj8AAAD//wMAUEsDBBQABgAIAAAAIQBybn8F4wAAAA8BAAAPAAAA&#10;ZHJzL2Rvd25yZXYueG1sTE89T8MwEN2R+A/WIbFRuySEKo1TIVCVoQMQWNjc2I2jxucodtrAr+8x&#10;wXLS3Xv3PorN7Hp2MmPoPEpYLgQwg43XHbYSPj+2dytgISrUqvdoJHybAJvy+qpQufZnfDenOraM&#10;RDDkSoKNccg5D401ToWFHwwSdvCjU5HWseV6VGcSdz2/FyLjTnVIDlYN5tma5lhPTsKuro7uB7+m&#10;t1Dp6tW65NBvEylvb+aXNY2nNbBo5vj3Ab8dKD+UFGzvJ9SB9RJSkT0QlYAVFSNCuswSYHs6pI8C&#10;eFnw/z3KCwAAAP//AwBQSwECLQAUAAYACAAAACEAtoM4kv4AAADhAQAAEwAAAAAAAAAAAAAAAAAA&#10;AAAAW0NvbnRlbnRfVHlwZXNdLnhtbFBLAQItABQABgAIAAAAIQA4/SH/1gAAAJQBAAALAAAAAAAA&#10;AAAAAAAAAC8BAABfcmVscy8ucmVsc1BLAQItABQABgAIAAAAIQCkU6mLwwEAAGIDAAAOAAAAAAAA&#10;AAAAAAAAAC4CAABkcnMvZTJvRG9jLnhtbFBLAQItABQABgAIAAAAIQBybn8F4wAAAA8BAAAPAAAA&#10;AAAAAAAAAAAAAB0EAABkcnMvZG93bnJldi54bWxQSwUGAAAAAAQABADzAAAALQUAAAAA&#10;" fillcolor="#0177b7" stroked="f" strokeweight="1pt">
                <v:stroke miterlimit="4"/>
                <w10:wrap type="through" anchory="line"/>
              </v:rect>
            </w:pict>
          </mc:Fallback>
        </mc:AlternateContent>
      </w:r>
      <w:r w:rsidR="00AB1AB2" w:rsidRPr="000A7EDD">
        <w:rPr>
          <w:rFonts w:cs="Calibri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3D327CD5">
                <wp:simplePos x="0" y="0"/>
                <wp:positionH relativeFrom="margin">
                  <wp:posOffset>2800350</wp:posOffset>
                </wp:positionH>
                <wp:positionV relativeFrom="line">
                  <wp:posOffset>46990</wp:posOffset>
                </wp:positionV>
                <wp:extent cx="3894455" cy="1057275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445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D7B4B" w14:textId="77777777" w:rsidR="003152E4" w:rsidRDefault="003152E4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Series: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“Power of God”</w:t>
                            </w:r>
                          </w:p>
                          <w:p w14:paraId="65ABA6F8" w14:textId="77777777" w:rsidR="003E47F9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AB1AB2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3E47F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How Long Will You Wait?”</w:t>
                            </w:r>
                          </w:p>
                          <w:p w14:paraId="2BD8802C" w14:textId="50C66208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="003152E4">
                              <w:rPr>
                                <w:rFonts w:ascii="Century Gothic" w:hAnsi="Century Gothic"/>
                              </w:rPr>
                              <w:t>Joshua 1</w:t>
                            </w:r>
                            <w:r w:rsidR="001B1C1D">
                              <w:rPr>
                                <w:rFonts w:ascii="Century Gothic" w:hAnsi="Century Gothic"/>
                              </w:rPr>
                              <w:t>8-19</w:t>
                            </w:r>
                          </w:p>
                          <w:p w14:paraId="3BB7D74B" w14:textId="77777777" w:rsidR="00AB1AB2" w:rsidRDefault="00B32E47">
                            <w:pPr>
                              <w:pStyle w:val="Body"/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Pastor </w:t>
                            </w:r>
                            <w:r w:rsidR="00AB1AB2">
                              <w:rPr>
                                <w:rFonts w:ascii="Century Gothic" w:hAnsi="Century Gothic"/>
                              </w:rPr>
                              <w:t>Stephen Schultze</w:t>
                            </w:r>
                          </w:p>
                          <w:p w14:paraId="03611D64" w14:textId="7EED7036" w:rsidR="00E5012A" w:rsidRDefault="004F5006">
                            <w:pPr>
                              <w:pStyle w:val="Body"/>
                              <w:spacing w:line="240" w:lineRule="auto"/>
                              <w:contextualSpacing/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Sunday, </w:t>
                            </w:r>
                            <w:r w:rsidR="001B1C1D">
                              <w:rPr>
                                <w:rFonts w:ascii="Century Gothic" w:hAnsi="Century Gothic"/>
                              </w:rPr>
                              <w:t>June 21</w:t>
                            </w:r>
                            <w:r w:rsidR="00613069">
                              <w:rPr>
                                <w:rFonts w:ascii="Century Gothic" w:hAnsi="Century Gothic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20.5pt;margin-top:3.7pt;width:306.65pt;height:83.25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1T7wEAAMIDAAAOAAAAZHJzL2Uyb0RvYy54bWysU8tu2zAQvBfoPxC813rErhzBcpA2SFGg&#10;aAsk+QCaIi0WJJclaUv++y4l2THaW1AdKO5Ds7uzo83dYDQ5Ch8U2IYWi5wSYTm0yu4b+vL8+GFN&#10;SYjMtkyDFQ09iUDvtu/fbXpXixI60K3wBEFsqHvX0C5GV2dZ4J0wLCzACYtBCd6wiKbfZ61nPaIb&#10;nZV5/jHrwbfOAxchoPdhCtLtiC+l4PGHlEFEohuKvcXx9OO5S2e23bB675nrFJ/bYG/owjBlsegF&#10;6oFFRg5e/QNlFPcQQMYFB5OBlIqLcQacpsj/muapY06MsyA5wV1oCv8Pln8//vREtbi7vLqplsW6&#10;rCixzOCupu7ufSSw+4VMUtKKwJG8ZzFE8gkGUib+ehdqhHlyCBQHdCPW2R/QmWgZpDfpjZAE47iJ&#10;04X9BMbRebO+XS5XK0o4xop8VZXVKuFkr587H+IXAYakS0N9airBsuO3EKfUc0pyW3hUWo8r1pb0&#10;iFpWOdbmDJUmNZs+vsoyKqIatTINXebpmetrm+DEqKe5Upp6mi7d4rAbZip20J6QiR411dDw+8C8&#10;oER/tbi0Jc6URHg2iltK/LWxuzbswXwGlG1BCbO8AyT+3PD9IYJU48Sp+lQSmUoGCmXkbBZ1UuK1&#10;PWa9/nrbPwAAAP//AwBQSwMEFAAGAAgAAAAhAOeiqxrgAAAACgEAAA8AAABkcnMvZG93bnJldi54&#10;bWxMj8FOwzAQRO9I/IO1SNyo0zakEOJUFRIV4lLRFs5OvCRR7XWIt234e9wT3GY1q5k3xXJ0Vpxw&#10;CJ0nBdNJAgKp9qajRsF+93L3ACKwJqOtJ1TwgwGW5fVVoXPjz/SOpy03IoZQyLWClrnPpQx1i06H&#10;ie+RovflB6c5nkMjzaDPMdxZOUuSTDrdUWxodY/PLdaH7dEp+B43Gdf9W/ax9rapVtX61Ww+lbq9&#10;GVdPIBhH/nuGC35EhzIyVf5IJgirIE2ncQsrWKQgLn5yn85BVFEt5o8gy0L+n1D+AgAA//8DAFBL&#10;AQItABQABgAIAAAAIQC2gziS/gAAAOEBAAATAAAAAAAAAAAAAAAAAAAAAABbQ29udGVudF9UeXBl&#10;c10ueG1sUEsBAi0AFAAGAAgAAAAhADj9If/WAAAAlAEAAAsAAAAAAAAAAAAAAAAALwEAAF9yZWxz&#10;Ly5yZWxzUEsBAi0AFAAGAAgAAAAhAJC+HVPvAQAAwgMAAA4AAAAAAAAAAAAAAAAALgIAAGRycy9l&#10;Mm9Eb2MueG1sUEsBAi0AFAAGAAgAAAAhAOeiqxrgAAAACgEAAA8AAAAAAAAAAAAAAAAASQQAAGRy&#10;cy9kb3ducmV2LnhtbFBLBQYAAAAABAAEAPMAAABWBQAAAAA=&#10;" filled="f" stroked="f" strokeweight="1pt">
                <v:stroke miterlimit="4"/>
                <v:textbox inset="3.6pt,1.27mm,1.27mm,1.27mm">
                  <w:txbxContent>
                    <w:p w14:paraId="0EFD7B4B" w14:textId="77777777" w:rsidR="003152E4" w:rsidRDefault="003152E4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Series: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iCs/>
                        </w:rPr>
                        <w:t>“Power of God”</w:t>
                      </w:r>
                    </w:p>
                    <w:p w14:paraId="65ABA6F8" w14:textId="77777777" w:rsidR="003E47F9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AB1AB2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3E47F9">
                        <w:rPr>
                          <w:rFonts w:ascii="Century Gothic" w:hAnsi="Century Gothic"/>
                          <w:i/>
                          <w:iCs/>
                        </w:rPr>
                        <w:t>How Long Will You Wait?”</w:t>
                      </w:r>
                    </w:p>
                    <w:p w14:paraId="2BD8802C" w14:textId="50C66208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="003152E4">
                        <w:rPr>
                          <w:rFonts w:ascii="Century Gothic" w:hAnsi="Century Gothic"/>
                        </w:rPr>
                        <w:t>Joshua 1</w:t>
                      </w:r>
                      <w:r w:rsidR="001B1C1D">
                        <w:rPr>
                          <w:rFonts w:ascii="Century Gothic" w:hAnsi="Century Gothic"/>
                        </w:rPr>
                        <w:t>8-19</w:t>
                      </w:r>
                    </w:p>
                    <w:p w14:paraId="3BB7D74B" w14:textId="77777777" w:rsidR="00AB1AB2" w:rsidRDefault="00B32E47">
                      <w:pPr>
                        <w:pStyle w:val="Body"/>
                        <w:spacing w:line="240" w:lineRule="auto"/>
                        <w:contextualSpacing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Pastor </w:t>
                      </w:r>
                      <w:r w:rsidR="00AB1AB2">
                        <w:rPr>
                          <w:rFonts w:ascii="Century Gothic" w:hAnsi="Century Gothic"/>
                        </w:rPr>
                        <w:t>Stephen Schultze</w:t>
                      </w:r>
                    </w:p>
                    <w:p w14:paraId="03611D64" w14:textId="7EED7036" w:rsidR="00E5012A" w:rsidRDefault="004F5006">
                      <w:pPr>
                        <w:pStyle w:val="Body"/>
                        <w:spacing w:line="240" w:lineRule="auto"/>
                        <w:contextualSpacing/>
                      </w:pPr>
                      <w:r>
                        <w:rPr>
                          <w:rFonts w:ascii="Century Gothic" w:hAnsi="Century Gothic"/>
                        </w:rPr>
                        <w:t xml:space="preserve">Sunday, </w:t>
                      </w:r>
                      <w:r w:rsidR="001B1C1D">
                        <w:rPr>
                          <w:rFonts w:ascii="Century Gothic" w:hAnsi="Century Gothic"/>
                        </w:rPr>
                        <w:t>June 21</w:t>
                      </w:r>
                      <w:r w:rsidR="00613069">
                        <w:rPr>
                          <w:rFonts w:ascii="Century Gothic" w:hAnsi="Century Gothic"/>
                        </w:rPr>
                        <w:t>, 2020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FC6D333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59A10D77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28E6214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7B55568E" w14:textId="77777777" w:rsidR="00E5012A" w:rsidRPr="000A7EDD" w:rsidRDefault="00E5012A">
      <w:pPr>
        <w:pStyle w:val="Body"/>
        <w:spacing w:after="0" w:line="288" w:lineRule="auto"/>
        <w:rPr>
          <w:rFonts w:cs="Calibri"/>
          <w:b/>
          <w:bCs/>
          <w:sz w:val="24"/>
          <w:szCs w:val="24"/>
        </w:rPr>
      </w:pPr>
    </w:p>
    <w:p w14:paraId="19249016" w14:textId="77777777" w:rsidR="00446750" w:rsidRDefault="00446750" w:rsidP="003E47F9">
      <w:pPr>
        <w:pStyle w:val="Body"/>
        <w:spacing w:after="0" w:line="276" w:lineRule="auto"/>
        <w:rPr>
          <w:rFonts w:ascii="Century" w:hAnsi="Century" w:cs="Calibri"/>
          <w:b/>
          <w:bCs/>
          <w:sz w:val="28"/>
          <w:szCs w:val="28"/>
        </w:rPr>
      </w:pPr>
    </w:p>
    <w:p w14:paraId="174F25C2" w14:textId="11E4BE4B" w:rsidR="00AB5BFE" w:rsidRPr="003E47F9" w:rsidRDefault="0013590D" w:rsidP="003E47F9">
      <w:pPr>
        <w:pStyle w:val="Body"/>
        <w:spacing w:after="0" w:line="276" w:lineRule="auto"/>
        <w:rPr>
          <w:rFonts w:ascii="Century" w:hAnsi="Century" w:cs="Calibri"/>
          <w:b/>
          <w:bCs/>
          <w:sz w:val="28"/>
          <w:szCs w:val="28"/>
        </w:rPr>
      </w:pPr>
      <w:r w:rsidRPr="00AB5BFE">
        <w:rPr>
          <w:rFonts w:ascii="Century" w:hAnsi="Century" w:cs="Calibri"/>
          <w:b/>
          <w:bCs/>
          <w:sz w:val="28"/>
          <w:szCs w:val="28"/>
        </w:rPr>
        <w:t xml:space="preserve">Introduction: </w:t>
      </w:r>
      <w:r w:rsidR="009A17D2" w:rsidRPr="00AB5BFE">
        <w:rPr>
          <w:rFonts w:ascii="Century" w:hAnsi="Century" w:cs="Calibri"/>
          <w:sz w:val="24"/>
          <w:szCs w:val="24"/>
        </w:rPr>
        <w:t xml:space="preserve">Blessings become hindrances when we lose sight of God’s </w:t>
      </w:r>
      <w:r w:rsidR="009A17D2" w:rsidRPr="00446750">
        <w:rPr>
          <w:rFonts w:ascii="Century" w:hAnsi="Century" w:cs="Calibri"/>
          <w:sz w:val="24"/>
          <w:szCs w:val="24"/>
          <w:highlight w:val="yellow"/>
        </w:rPr>
        <w:t>purposes</w:t>
      </w:r>
      <w:r w:rsidR="009A17D2" w:rsidRPr="00AB5BFE">
        <w:rPr>
          <w:rFonts w:ascii="Century" w:hAnsi="Century" w:cs="Calibri"/>
          <w:sz w:val="24"/>
          <w:szCs w:val="24"/>
        </w:rPr>
        <w:t xml:space="preserve">. </w:t>
      </w:r>
    </w:p>
    <w:p w14:paraId="6B9F489D" w14:textId="551CDBBD" w:rsidR="009A17D2" w:rsidRPr="00AB5BFE" w:rsidRDefault="00AB5BFE" w:rsidP="003E47F9">
      <w:pPr>
        <w:pStyle w:val="Body"/>
        <w:spacing w:after="0" w:line="276" w:lineRule="auto"/>
        <w:ind w:firstLine="360"/>
        <w:rPr>
          <w:rFonts w:ascii="Century" w:hAnsi="Century" w:cs="Calibri"/>
          <w:sz w:val="24"/>
          <w:szCs w:val="24"/>
        </w:rPr>
      </w:pPr>
      <w:r w:rsidRPr="00AB5BFE">
        <w:rPr>
          <w:rFonts w:ascii="Century" w:hAnsi="Century" w:cs="Calibri"/>
          <w:b/>
          <w:bCs/>
          <w:i/>
          <w:iCs/>
          <w:sz w:val="24"/>
          <w:szCs w:val="24"/>
        </w:rPr>
        <w:t>Scripture:</w:t>
      </w:r>
      <w:r w:rsidRPr="00AB5BFE">
        <w:rPr>
          <w:rFonts w:ascii="Century" w:hAnsi="Century" w:cs="Calibri"/>
          <w:i/>
          <w:iCs/>
          <w:sz w:val="24"/>
          <w:szCs w:val="24"/>
        </w:rPr>
        <w:t xml:space="preserve"> </w:t>
      </w:r>
      <w:r w:rsidR="009A17D2" w:rsidRPr="00AB5BFE">
        <w:rPr>
          <w:rFonts w:ascii="Century" w:hAnsi="Century" w:cs="Calibri"/>
          <w:i/>
          <w:iCs/>
          <w:sz w:val="24"/>
          <w:szCs w:val="24"/>
        </w:rPr>
        <w:t>Matthew 6:33</w:t>
      </w:r>
      <w:r w:rsidR="003E47F9">
        <w:rPr>
          <w:rFonts w:ascii="Century" w:hAnsi="Century" w:cs="Calibri"/>
          <w:i/>
          <w:iCs/>
          <w:sz w:val="24"/>
          <w:szCs w:val="24"/>
        </w:rPr>
        <w:t>; Ephesians 5:15-17</w:t>
      </w:r>
    </w:p>
    <w:p w14:paraId="1AE0872E" w14:textId="77777777" w:rsidR="009A17D2" w:rsidRPr="00AB5BFE" w:rsidRDefault="009A17D2" w:rsidP="003E47F9">
      <w:pPr>
        <w:pStyle w:val="Body"/>
        <w:spacing w:after="0" w:line="276" w:lineRule="auto"/>
        <w:rPr>
          <w:rFonts w:ascii="Century" w:hAnsi="Century"/>
          <w:color w:val="000000" w:themeColor="text1"/>
          <w:sz w:val="28"/>
          <w:szCs w:val="28"/>
        </w:rPr>
      </w:pPr>
    </w:p>
    <w:p w14:paraId="14239426" w14:textId="24E3CFC0" w:rsidR="00350581" w:rsidRPr="00AB5BFE" w:rsidRDefault="00350581" w:rsidP="003E47F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rPr>
          <w:rFonts w:ascii="Century" w:hAnsi="Century"/>
          <w:sz w:val="28"/>
          <w:szCs w:val="28"/>
        </w:rPr>
      </w:pPr>
      <w:r w:rsidRPr="00AB5BFE">
        <w:rPr>
          <w:rFonts w:ascii="Century" w:hAnsi="Century"/>
          <w:b/>
          <w:bCs/>
          <w:sz w:val="28"/>
          <w:szCs w:val="28"/>
        </w:rPr>
        <w:t>Israel</w:t>
      </w:r>
      <w:r w:rsidR="003708AB" w:rsidRPr="00AB5BFE">
        <w:rPr>
          <w:rFonts w:ascii="Century" w:hAnsi="Century"/>
          <w:b/>
          <w:bCs/>
          <w:sz w:val="28"/>
          <w:szCs w:val="28"/>
        </w:rPr>
        <w:t xml:space="preserve">’s </w:t>
      </w:r>
      <w:r w:rsidR="002F35D9" w:rsidRPr="00AB5BFE">
        <w:rPr>
          <w:rFonts w:ascii="Century" w:hAnsi="Century"/>
          <w:b/>
          <w:bCs/>
          <w:sz w:val="28"/>
          <w:szCs w:val="28"/>
        </w:rPr>
        <w:t>complacency</w:t>
      </w:r>
      <w:r w:rsidR="003708AB" w:rsidRPr="00AB5BFE">
        <w:rPr>
          <w:rFonts w:ascii="Century" w:hAnsi="Century"/>
          <w:b/>
          <w:bCs/>
          <w:sz w:val="28"/>
          <w:szCs w:val="28"/>
        </w:rPr>
        <w:t xml:space="preserve"> was the result of prolonged </w:t>
      </w:r>
      <w:r w:rsidR="003708AB" w:rsidRPr="00AB5BFE">
        <w:rPr>
          <w:rFonts w:ascii="Century" w:hAnsi="Century"/>
          <w:b/>
          <w:bCs/>
          <w:sz w:val="28"/>
          <w:szCs w:val="28"/>
          <w:highlight w:val="yellow"/>
        </w:rPr>
        <w:t>immobilization</w:t>
      </w:r>
      <w:r w:rsidRPr="00AB5BFE">
        <w:rPr>
          <w:rFonts w:ascii="Century" w:hAnsi="Century"/>
          <w:b/>
          <w:bCs/>
          <w:sz w:val="28"/>
          <w:szCs w:val="28"/>
        </w:rPr>
        <w:t>.</w:t>
      </w:r>
      <w:r w:rsidRPr="00AB5BFE">
        <w:rPr>
          <w:rFonts w:ascii="Century" w:hAnsi="Century"/>
          <w:sz w:val="28"/>
          <w:szCs w:val="28"/>
        </w:rPr>
        <w:t xml:space="preserve"> </w:t>
      </w:r>
      <w:r w:rsidRPr="00AB5BFE">
        <w:rPr>
          <w:rFonts w:ascii="Century" w:hAnsi="Century"/>
        </w:rPr>
        <w:t>(18:1-2)</w:t>
      </w:r>
    </w:p>
    <w:p w14:paraId="3E57E06F" w14:textId="77777777" w:rsidR="00920D4A" w:rsidRPr="00920D4A" w:rsidRDefault="00920D4A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b/>
          <w:bCs/>
          <w:i/>
          <w:iCs/>
          <w:sz w:val="20"/>
          <w:szCs w:val="20"/>
        </w:rPr>
      </w:pPr>
    </w:p>
    <w:p w14:paraId="44B3678F" w14:textId="71CC1BEA" w:rsidR="003708AB" w:rsidRPr="00AB5BFE" w:rsidRDefault="00AF7EE7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i/>
          <w:iCs/>
        </w:rPr>
      </w:pPr>
      <w:r w:rsidRPr="00AB5BFE">
        <w:rPr>
          <w:rFonts w:ascii="Century" w:hAnsi="Century"/>
          <w:b/>
          <w:bCs/>
          <w:i/>
          <w:iCs/>
        </w:rPr>
        <w:t>Scripture:</w:t>
      </w:r>
      <w:r w:rsidRPr="00AB5BFE">
        <w:rPr>
          <w:rFonts w:ascii="Century" w:hAnsi="Century"/>
          <w:i/>
          <w:iCs/>
        </w:rPr>
        <w:t xml:space="preserve"> </w:t>
      </w:r>
      <w:r w:rsidR="0054350D" w:rsidRPr="00AB5BFE">
        <w:rPr>
          <w:rFonts w:ascii="Century" w:hAnsi="Century"/>
          <w:i/>
          <w:iCs/>
        </w:rPr>
        <w:t>Psalm 33:21</w:t>
      </w:r>
    </w:p>
    <w:p w14:paraId="42FB9F19" w14:textId="77777777" w:rsidR="00AF7EE7" w:rsidRPr="00AB5BFE" w:rsidRDefault="00AF7EE7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</w:rPr>
      </w:pPr>
    </w:p>
    <w:p w14:paraId="7C20D70F" w14:textId="60916124" w:rsidR="001E7CDE" w:rsidRDefault="0054350D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720"/>
        <w:rPr>
          <w:rFonts w:ascii="Century" w:hAnsi="Century"/>
        </w:rPr>
      </w:pPr>
      <w:r w:rsidRPr="00AB5BFE">
        <w:rPr>
          <w:rFonts w:ascii="Century" w:hAnsi="Century"/>
        </w:rPr>
        <w:t xml:space="preserve">Misplaced </w:t>
      </w:r>
      <w:r w:rsidRPr="00AB5BFE">
        <w:rPr>
          <w:rFonts w:ascii="Century" w:hAnsi="Century"/>
          <w:highlight w:val="yellow"/>
        </w:rPr>
        <w:t>contentment</w:t>
      </w:r>
      <w:r w:rsidRPr="00AB5BFE">
        <w:rPr>
          <w:rFonts w:ascii="Century" w:hAnsi="Century"/>
        </w:rPr>
        <w:t xml:space="preserve"> feeds spiritual complacency.</w:t>
      </w:r>
      <w:r w:rsidR="00920D4A">
        <w:rPr>
          <w:rFonts w:ascii="Century" w:hAnsi="Century"/>
        </w:rPr>
        <w:t xml:space="preserve"> </w:t>
      </w:r>
      <w:r w:rsidR="00920D4A" w:rsidRPr="00920D4A">
        <w:rPr>
          <w:rFonts w:ascii="Century" w:hAnsi="Century"/>
          <w:i/>
          <w:iCs/>
        </w:rPr>
        <w:t>(Matthew 5:6; Psalm 107:1)</w:t>
      </w:r>
    </w:p>
    <w:p w14:paraId="4BEA139C" w14:textId="77777777" w:rsidR="003E47F9" w:rsidRDefault="003E47F9" w:rsidP="00920D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rPr>
          <w:rFonts w:ascii="Century" w:hAnsi="Century"/>
        </w:rPr>
      </w:pPr>
    </w:p>
    <w:p w14:paraId="7F52A53C" w14:textId="64D9F046" w:rsidR="003E47F9" w:rsidRDefault="00920D4A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720"/>
        <w:rPr>
          <w:rFonts w:ascii="Century" w:hAnsi="Century"/>
        </w:rPr>
      </w:pPr>
      <w:r>
        <w:rPr>
          <w:rFonts w:ascii="Century" w:hAnsi="Century"/>
        </w:rPr>
        <w:t xml:space="preserve">God does not simply </w:t>
      </w:r>
      <w:r w:rsidR="003E47F9">
        <w:rPr>
          <w:rFonts w:ascii="Century" w:hAnsi="Century"/>
        </w:rPr>
        <w:t>save</w:t>
      </w:r>
      <w:r>
        <w:rPr>
          <w:rFonts w:ascii="Century" w:hAnsi="Century"/>
        </w:rPr>
        <w:t xml:space="preserve"> the believer</w:t>
      </w:r>
      <w:r w:rsidR="003E47F9">
        <w:rPr>
          <w:rFonts w:ascii="Century" w:hAnsi="Century"/>
        </w:rPr>
        <w:t xml:space="preserve"> from hell, but </w:t>
      </w:r>
      <w:r>
        <w:rPr>
          <w:rFonts w:ascii="Century" w:hAnsi="Century"/>
        </w:rPr>
        <w:t xml:space="preserve">to be eternally </w:t>
      </w:r>
      <w:r w:rsidRPr="00920D4A">
        <w:rPr>
          <w:rFonts w:ascii="Century" w:hAnsi="Century"/>
          <w:highlight w:val="yellow"/>
        </w:rPr>
        <w:t>satisfied</w:t>
      </w:r>
      <w:r>
        <w:rPr>
          <w:rFonts w:ascii="Century" w:hAnsi="Century"/>
        </w:rPr>
        <w:t xml:space="preserve"> in </w:t>
      </w:r>
      <w:r w:rsidR="003E47F9">
        <w:rPr>
          <w:rFonts w:ascii="Century" w:hAnsi="Century"/>
        </w:rPr>
        <w:t>Christ.</w:t>
      </w:r>
      <w:r>
        <w:rPr>
          <w:rFonts w:ascii="Century" w:hAnsi="Century"/>
        </w:rPr>
        <w:t xml:space="preserve"> </w:t>
      </w:r>
      <w:r w:rsidRPr="00920D4A">
        <w:rPr>
          <w:rFonts w:ascii="Century" w:hAnsi="Century"/>
          <w:i/>
          <w:iCs/>
        </w:rPr>
        <w:t>(1 Peter 1:8-9)</w:t>
      </w:r>
    </w:p>
    <w:p w14:paraId="6C686F4D" w14:textId="77777777" w:rsidR="0005297A" w:rsidRPr="0005297A" w:rsidRDefault="0005297A" w:rsidP="003E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rPr>
          <w:rFonts w:ascii="Century" w:hAnsi="Century"/>
        </w:rPr>
      </w:pPr>
    </w:p>
    <w:p w14:paraId="4067A6B8" w14:textId="1FA29A1D" w:rsidR="00350581" w:rsidRPr="00AB5BFE" w:rsidRDefault="00350581" w:rsidP="003E47F9">
      <w:pPr>
        <w:pStyle w:val="NormalWeb"/>
        <w:numPr>
          <w:ilvl w:val="0"/>
          <w:numId w:val="22"/>
        </w:numPr>
        <w:shd w:val="clear" w:color="auto" w:fill="FFFFFF"/>
        <w:snapToGrid w:val="0"/>
        <w:spacing w:before="240" w:beforeAutospacing="0" w:after="240" w:afterAutospacing="0" w:line="276" w:lineRule="auto"/>
        <w:contextualSpacing/>
        <w:rPr>
          <w:rFonts w:ascii="Century" w:hAnsi="Century" w:cs="Arial"/>
          <w:color w:val="292F33"/>
          <w:sz w:val="28"/>
          <w:szCs w:val="28"/>
        </w:rPr>
      </w:pPr>
      <w:r w:rsidRPr="00AB5BFE">
        <w:rPr>
          <w:rFonts w:ascii="Century" w:hAnsi="Century" w:cs="Arial"/>
          <w:b/>
          <w:bCs/>
          <w:color w:val="292F33"/>
          <w:sz w:val="28"/>
          <w:szCs w:val="28"/>
        </w:rPr>
        <w:t xml:space="preserve">Joshua’s rebuke emphasized Israel’s </w:t>
      </w:r>
      <w:r w:rsidRPr="00AB5BFE">
        <w:rPr>
          <w:rFonts w:ascii="Century" w:hAnsi="Century" w:cs="Arial"/>
          <w:b/>
          <w:bCs/>
          <w:color w:val="292F33"/>
          <w:sz w:val="28"/>
          <w:szCs w:val="28"/>
          <w:highlight w:val="yellow"/>
        </w:rPr>
        <w:t>responsibility</w:t>
      </w:r>
      <w:r w:rsidRPr="00AB5BFE">
        <w:rPr>
          <w:rFonts w:ascii="Century" w:hAnsi="Century" w:cs="Arial"/>
          <w:b/>
          <w:bCs/>
          <w:color w:val="292F33"/>
          <w:sz w:val="28"/>
          <w:szCs w:val="28"/>
        </w:rPr>
        <w:t xml:space="preserve">. </w:t>
      </w:r>
      <w:r w:rsidRPr="00AB5BFE">
        <w:rPr>
          <w:rFonts w:ascii="Century" w:hAnsi="Century" w:cs="Arial"/>
          <w:color w:val="292F33"/>
        </w:rPr>
        <w:t>(18:3-10</w:t>
      </w:r>
      <w:r w:rsidR="003708AB" w:rsidRPr="00AB5BFE">
        <w:rPr>
          <w:rFonts w:ascii="Century" w:hAnsi="Century" w:cs="Arial"/>
          <w:color w:val="292F33"/>
        </w:rPr>
        <w:t>)</w:t>
      </w:r>
    </w:p>
    <w:p w14:paraId="4A7E72AF" w14:textId="77777777" w:rsidR="00920D4A" w:rsidRPr="00920D4A" w:rsidRDefault="00920D4A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b/>
          <w:bCs/>
          <w:i/>
          <w:iCs/>
          <w:color w:val="292F33"/>
          <w:sz w:val="20"/>
          <w:szCs w:val="20"/>
        </w:rPr>
      </w:pPr>
    </w:p>
    <w:p w14:paraId="3BFF0295" w14:textId="4C49E90D" w:rsidR="003708AB" w:rsidRPr="00AB5BFE" w:rsidRDefault="003708AB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i/>
          <w:iCs/>
          <w:color w:val="292F33"/>
        </w:rPr>
      </w:pPr>
      <w:r w:rsidRPr="00AB5BFE">
        <w:rPr>
          <w:rFonts w:ascii="Century" w:hAnsi="Century" w:cs="Arial"/>
          <w:b/>
          <w:bCs/>
          <w:i/>
          <w:iCs/>
          <w:color w:val="292F33"/>
        </w:rPr>
        <w:t>Scripture:</w:t>
      </w:r>
      <w:r w:rsidRPr="00AB5BFE">
        <w:rPr>
          <w:rFonts w:ascii="Century" w:hAnsi="Century" w:cs="Arial"/>
          <w:i/>
          <w:iCs/>
          <w:color w:val="292F33"/>
        </w:rPr>
        <w:t xml:space="preserve"> </w:t>
      </w:r>
      <w:r w:rsidR="00446750">
        <w:rPr>
          <w:rFonts w:ascii="Century" w:hAnsi="Century" w:cs="Arial"/>
          <w:i/>
          <w:iCs/>
          <w:color w:val="292F33"/>
        </w:rPr>
        <w:t xml:space="preserve">Exodus 10:3; 16:28; Numbers 14:11; </w:t>
      </w:r>
      <w:r w:rsidRPr="00AB5BFE">
        <w:rPr>
          <w:rFonts w:ascii="Century" w:hAnsi="Century" w:cs="Arial"/>
          <w:i/>
          <w:iCs/>
          <w:color w:val="292F33"/>
        </w:rPr>
        <w:t>Philippians 3:8-14; Hebrews 6:11-12</w:t>
      </w:r>
    </w:p>
    <w:p w14:paraId="17CAA63F" w14:textId="77777777" w:rsidR="00AB5BFE" w:rsidRPr="00AB5BFE" w:rsidRDefault="00AB5BFE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360"/>
        <w:contextualSpacing/>
        <w:rPr>
          <w:rFonts w:ascii="Century" w:hAnsi="Century" w:cs="Arial"/>
          <w:i/>
          <w:iCs/>
          <w:color w:val="292F33"/>
        </w:rPr>
      </w:pPr>
    </w:p>
    <w:p w14:paraId="4177D09D" w14:textId="6CC3A58A" w:rsidR="002F35D9" w:rsidRDefault="00AB5BFE" w:rsidP="00920D4A">
      <w:pPr>
        <w:pStyle w:val="NormalWeb"/>
        <w:numPr>
          <w:ilvl w:val="0"/>
          <w:numId w:val="23"/>
        </w:numPr>
        <w:shd w:val="clear" w:color="auto" w:fill="FFFFFF"/>
        <w:snapToGrid w:val="0"/>
        <w:spacing w:before="240" w:beforeAutospacing="0" w:after="240" w:afterAutospacing="0" w:line="276" w:lineRule="auto"/>
        <w:ind w:left="720"/>
        <w:contextualSpacing/>
        <w:rPr>
          <w:rFonts w:ascii="Century" w:hAnsi="Century" w:cs="Arial"/>
          <w:color w:val="292F33"/>
        </w:rPr>
      </w:pPr>
      <w:r w:rsidRPr="00AB5BFE">
        <w:rPr>
          <w:rFonts w:ascii="Century" w:hAnsi="Century" w:cs="Arial"/>
          <w:color w:val="292F33"/>
        </w:rPr>
        <w:t>Actively t</w:t>
      </w:r>
      <w:r w:rsidR="00350581" w:rsidRPr="00AB5BFE">
        <w:rPr>
          <w:rFonts w:ascii="Century" w:hAnsi="Century" w:cs="Arial"/>
          <w:color w:val="292F33"/>
        </w:rPr>
        <w:t xml:space="preserve">rusting God’s promises </w:t>
      </w:r>
      <w:r w:rsidRPr="00AB5BFE">
        <w:rPr>
          <w:rFonts w:ascii="Century" w:hAnsi="Century" w:cs="Arial"/>
          <w:color w:val="292F33"/>
        </w:rPr>
        <w:t xml:space="preserve">leads </w:t>
      </w:r>
      <w:r w:rsidR="002F35D9" w:rsidRPr="00AB5BFE">
        <w:rPr>
          <w:rFonts w:ascii="Century" w:hAnsi="Century" w:cs="Arial"/>
          <w:color w:val="292F33"/>
        </w:rPr>
        <w:t xml:space="preserve">us where we would not </w:t>
      </w:r>
      <w:r w:rsidR="002F35D9" w:rsidRPr="00920D4A">
        <w:rPr>
          <w:rFonts w:ascii="Century" w:hAnsi="Century" w:cs="Arial"/>
          <w:color w:val="292F33"/>
          <w:highlight w:val="yellow"/>
        </w:rPr>
        <w:t>naturally</w:t>
      </w:r>
      <w:r w:rsidR="002F35D9" w:rsidRPr="00AB5BFE">
        <w:rPr>
          <w:rFonts w:ascii="Century" w:hAnsi="Century" w:cs="Arial"/>
          <w:color w:val="292F33"/>
        </w:rPr>
        <w:t xml:space="preserve"> go.</w:t>
      </w:r>
    </w:p>
    <w:p w14:paraId="28B28C28" w14:textId="77777777" w:rsidR="0005297A" w:rsidRPr="00AB5BFE" w:rsidRDefault="0005297A" w:rsidP="003E47F9">
      <w:pPr>
        <w:pStyle w:val="NormalWeb"/>
        <w:shd w:val="clear" w:color="auto" w:fill="FFFFFF"/>
        <w:snapToGrid w:val="0"/>
        <w:spacing w:before="240" w:beforeAutospacing="0" w:after="240" w:afterAutospacing="0" w:line="276" w:lineRule="auto"/>
        <w:ind w:left="1080"/>
        <w:contextualSpacing/>
        <w:rPr>
          <w:rFonts w:ascii="Century" w:hAnsi="Century" w:cs="Arial"/>
          <w:color w:val="292F33"/>
        </w:rPr>
      </w:pPr>
    </w:p>
    <w:p w14:paraId="6B126EA1" w14:textId="294D3486" w:rsidR="00350581" w:rsidRPr="00AB5BFE" w:rsidRDefault="00350581" w:rsidP="003E47F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rPr>
          <w:rFonts w:ascii="Century" w:hAnsi="Century"/>
          <w:sz w:val="28"/>
          <w:szCs w:val="28"/>
        </w:rPr>
      </w:pPr>
      <w:r w:rsidRPr="00AB5BFE">
        <w:rPr>
          <w:rFonts w:ascii="Century" w:hAnsi="Century"/>
          <w:b/>
          <w:bCs/>
          <w:sz w:val="28"/>
          <w:szCs w:val="28"/>
        </w:rPr>
        <w:t xml:space="preserve">The assignment of Israel’s inheritance affirmed God’s </w:t>
      </w:r>
      <w:r w:rsidRPr="00AB5BFE">
        <w:rPr>
          <w:rFonts w:ascii="Century" w:hAnsi="Century"/>
          <w:b/>
          <w:bCs/>
          <w:sz w:val="28"/>
          <w:szCs w:val="28"/>
          <w:highlight w:val="yellow"/>
        </w:rPr>
        <w:t>sovereignty</w:t>
      </w:r>
      <w:r w:rsidR="009A17D2" w:rsidRPr="00AB5BFE">
        <w:rPr>
          <w:rFonts w:ascii="Century" w:hAnsi="Century"/>
          <w:b/>
          <w:bCs/>
          <w:sz w:val="28"/>
          <w:szCs w:val="28"/>
        </w:rPr>
        <w:t xml:space="preserve"> &amp; </w:t>
      </w:r>
      <w:r w:rsidR="003E47F9">
        <w:rPr>
          <w:rFonts w:ascii="Century" w:hAnsi="Century"/>
          <w:b/>
          <w:bCs/>
          <w:sz w:val="28"/>
          <w:szCs w:val="28"/>
        </w:rPr>
        <w:t>goodness</w:t>
      </w:r>
      <w:r w:rsidRPr="00AB5BFE">
        <w:rPr>
          <w:rFonts w:ascii="Century" w:hAnsi="Century"/>
          <w:b/>
          <w:bCs/>
          <w:sz w:val="28"/>
          <w:szCs w:val="28"/>
        </w:rPr>
        <w:t>.</w:t>
      </w:r>
      <w:r w:rsidR="009A17D2" w:rsidRPr="00AB5BFE">
        <w:rPr>
          <w:rFonts w:ascii="Century" w:hAnsi="Century"/>
          <w:sz w:val="28"/>
          <w:szCs w:val="28"/>
        </w:rPr>
        <w:t xml:space="preserve"> </w:t>
      </w:r>
      <w:r w:rsidRPr="00AB5BFE">
        <w:rPr>
          <w:rFonts w:ascii="Century" w:hAnsi="Century"/>
        </w:rPr>
        <w:t>(18:11-19:48)</w:t>
      </w:r>
    </w:p>
    <w:p w14:paraId="7EAA2AE2" w14:textId="56173D58" w:rsidR="002F35D9" w:rsidRPr="00AB5BFE" w:rsidRDefault="002F35D9" w:rsidP="003E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contextualSpacing/>
        <w:rPr>
          <w:rFonts w:ascii="Century" w:hAnsi="Century"/>
        </w:rPr>
      </w:pPr>
    </w:p>
    <w:p w14:paraId="1EECE142" w14:textId="42E7B3A9" w:rsidR="00446750" w:rsidRDefault="0005297A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810"/>
        <w:rPr>
          <w:rFonts w:ascii="Century" w:hAnsi="Century"/>
        </w:rPr>
      </w:pPr>
      <w:r>
        <w:rPr>
          <w:rFonts w:ascii="Century" w:hAnsi="Century"/>
        </w:rPr>
        <w:t xml:space="preserve">Trusting God’s sovereign goodness is the </w:t>
      </w:r>
      <w:r w:rsidRPr="00920D4A">
        <w:rPr>
          <w:rFonts w:ascii="Century" w:hAnsi="Century"/>
          <w:highlight w:val="yellow"/>
        </w:rPr>
        <w:t>antidote</w:t>
      </w:r>
      <w:r>
        <w:rPr>
          <w:rFonts w:ascii="Century" w:hAnsi="Century"/>
        </w:rPr>
        <w:t xml:space="preserve"> for grumbling and complaining.</w:t>
      </w:r>
      <w:r w:rsidR="00920D4A">
        <w:rPr>
          <w:rFonts w:ascii="Century" w:hAnsi="Century"/>
        </w:rPr>
        <w:t xml:space="preserve"> (</w:t>
      </w:r>
      <w:r w:rsidR="00920D4A" w:rsidRPr="00AB5BFE">
        <w:rPr>
          <w:rFonts w:ascii="Century" w:hAnsi="Century"/>
          <w:i/>
          <w:iCs/>
        </w:rPr>
        <w:t>Proverbs 16:33, 18:18</w:t>
      </w:r>
      <w:r w:rsidR="00920D4A">
        <w:rPr>
          <w:rFonts w:ascii="Century" w:hAnsi="Century"/>
          <w:i/>
          <w:iCs/>
        </w:rPr>
        <w:t>; Exodus 16:8; Philippians 2:14)</w:t>
      </w:r>
    </w:p>
    <w:p w14:paraId="3455420B" w14:textId="77777777" w:rsidR="0005297A" w:rsidRPr="00920D4A" w:rsidRDefault="0005297A" w:rsidP="00920D4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810"/>
        <w:rPr>
          <w:rFonts w:ascii="Century" w:hAnsi="Century"/>
          <w:sz w:val="21"/>
          <w:szCs w:val="21"/>
        </w:rPr>
      </w:pPr>
    </w:p>
    <w:p w14:paraId="54994F81" w14:textId="1F842275" w:rsidR="0064797B" w:rsidRDefault="00112EA0" w:rsidP="00920D4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ind w:left="810"/>
        <w:rPr>
          <w:rFonts w:ascii="Century" w:hAnsi="Century"/>
        </w:rPr>
      </w:pPr>
      <w:r>
        <w:rPr>
          <w:rFonts w:ascii="Century" w:hAnsi="Century"/>
        </w:rPr>
        <w:t>God</w:t>
      </w:r>
      <w:r w:rsidR="0064797B" w:rsidRPr="00AB5BFE">
        <w:rPr>
          <w:rFonts w:ascii="Century" w:hAnsi="Century"/>
        </w:rPr>
        <w:t xml:space="preserve"> provided a </w:t>
      </w:r>
      <w:r w:rsidR="0064797B" w:rsidRPr="00920D4A">
        <w:rPr>
          <w:rFonts w:ascii="Century" w:hAnsi="Century"/>
          <w:highlight w:val="yellow"/>
        </w:rPr>
        <w:t>place</w:t>
      </w:r>
      <w:r w:rsidR="0064797B" w:rsidRPr="00AB5BFE">
        <w:rPr>
          <w:rFonts w:ascii="Century" w:hAnsi="Century"/>
        </w:rPr>
        <w:t xml:space="preserve"> (belonging) and </w:t>
      </w:r>
      <w:r w:rsidR="0064797B" w:rsidRPr="00920D4A">
        <w:rPr>
          <w:rFonts w:ascii="Century" w:hAnsi="Century"/>
          <w:highlight w:val="yellow"/>
        </w:rPr>
        <w:t>work</w:t>
      </w:r>
      <w:r w:rsidR="0064797B" w:rsidRPr="00AB5BFE">
        <w:rPr>
          <w:rFonts w:ascii="Century" w:hAnsi="Century"/>
        </w:rPr>
        <w:t xml:space="preserve"> (purpose) for each tribe.</w:t>
      </w:r>
    </w:p>
    <w:p w14:paraId="4FBBA985" w14:textId="77777777" w:rsidR="002F35D9" w:rsidRPr="00AB5BFE" w:rsidRDefault="002F35D9" w:rsidP="003E4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87"/>
        </w:tabs>
        <w:snapToGrid w:val="0"/>
        <w:spacing w:line="276" w:lineRule="auto"/>
        <w:contextualSpacing/>
        <w:rPr>
          <w:rFonts w:ascii="Century" w:hAnsi="Century"/>
          <w:b/>
          <w:bCs/>
          <w:sz w:val="28"/>
          <w:szCs w:val="28"/>
        </w:rPr>
      </w:pPr>
    </w:p>
    <w:p w14:paraId="468FFA4E" w14:textId="703485B5" w:rsidR="0064797B" w:rsidRPr="00AB5BFE" w:rsidRDefault="00350581" w:rsidP="003E47F9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rPr>
          <w:rFonts w:ascii="Century" w:hAnsi="Century"/>
          <w:sz w:val="32"/>
          <w:szCs w:val="32"/>
        </w:rPr>
      </w:pPr>
      <w:r w:rsidRPr="00AB5BFE">
        <w:rPr>
          <w:rFonts w:ascii="Century" w:hAnsi="Century"/>
          <w:b/>
          <w:bCs/>
          <w:sz w:val="28"/>
          <w:szCs w:val="28"/>
        </w:rPr>
        <w:t xml:space="preserve">Joshua’s Inheritance highlighted God’s </w:t>
      </w:r>
      <w:r w:rsidRPr="00AB5BFE">
        <w:rPr>
          <w:rFonts w:ascii="Century" w:hAnsi="Century"/>
          <w:b/>
          <w:bCs/>
          <w:sz w:val="28"/>
          <w:szCs w:val="28"/>
          <w:highlight w:val="yellow"/>
        </w:rPr>
        <w:t>faithfulness</w:t>
      </w:r>
      <w:r w:rsidRPr="00AB5BFE">
        <w:rPr>
          <w:rFonts w:ascii="Century" w:hAnsi="Century"/>
          <w:b/>
          <w:bCs/>
          <w:sz w:val="28"/>
          <w:szCs w:val="28"/>
        </w:rPr>
        <w:t>.</w:t>
      </w:r>
      <w:r w:rsidRPr="00AB5BFE">
        <w:rPr>
          <w:rFonts w:ascii="Century" w:hAnsi="Century"/>
          <w:sz w:val="28"/>
          <w:szCs w:val="28"/>
        </w:rPr>
        <w:t xml:space="preserve"> </w:t>
      </w:r>
      <w:r w:rsidRPr="00AB5BFE">
        <w:rPr>
          <w:rFonts w:ascii="Century" w:hAnsi="Century"/>
        </w:rPr>
        <w:t>(19:49-41)</w:t>
      </w:r>
    </w:p>
    <w:p w14:paraId="2D833B4C" w14:textId="77777777" w:rsidR="00920D4A" w:rsidRPr="00920D4A" w:rsidRDefault="00920D4A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b/>
          <w:bCs/>
          <w:i/>
          <w:iCs/>
          <w:sz w:val="20"/>
          <w:szCs w:val="20"/>
        </w:rPr>
      </w:pPr>
    </w:p>
    <w:p w14:paraId="77574225" w14:textId="7002910B" w:rsidR="00AB5BFE" w:rsidRPr="00AB5BFE" w:rsidRDefault="00AB5BFE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  <w:i/>
          <w:iCs/>
        </w:rPr>
      </w:pPr>
      <w:r w:rsidRPr="00AB5BFE">
        <w:rPr>
          <w:rFonts w:ascii="Century" w:hAnsi="Century"/>
          <w:b/>
          <w:bCs/>
          <w:i/>
          <w:iCs/>
        </w:rPr>
        <w:t>Scripture:</w:t>
      </w:r>
      <w:r w:rsidRPr="00AB5BFE">
        <w:rPr>
          <w:rFonts w:ascii="Century" w:hAnsi="Century"/>
          <w:i/>
          <w:iCs/>
        </w:rPr>
        <w:t xml:space="preserve"> Psalms 37:3-5</w:t>
      </w:r>
    </w:p>
    <w:p w14:paraId="29620DFA" w14:textId="77777777" w:rsidR="00AB5BFE" w:rsidRPr="00920D4A" w:rsidRDefault="00AB5BFE" w:rsidP="003E47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line="276" w:lineRule="auto"/>
        <w:ind w:left="360"/>
        <w:rPr>
          <w:rFonts w:ascii="Century" w:hAnsi="Century"/>
        </w:rPr>
      </w:pPr>
    </w:p>
    <w:p w14:paraId="646C260E" w14:textId="55641A7D" w:rsidR="0064797B" w:rsidRPr="00AB5BFE" w:rsidRDefault="0005297A" w:rsidP="00920D4A">
      <w:pPr>
        <w:pStyle w:val="Body"/>
        <w:numPr>
          <w:ilvl w:val="0"/>
          <w:numId w:val="24"/>
        </w:numPr>
        <w:snapToGrid w:val="0"/>
        <w:spacing w:after="0" w:line="276" w:lineRule="auto"/>
        <w:ind w:left="720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The reward for faith in God’s faithfulness may be delayed, but never </w:t>
      </w:r>
      <w:r w:rsidRPr="00920D4A">
        <w:rPr>
          <w:rFonts w:ascii="Century" w:hAnsi="Century"/>
          <w:sz w:val="24"/>
          <w:szCs w:val="24"/>
          <w:highlight w:val="yellow"/>
        </w:rPr>
        <w:t>denied</w:t>
      </w:r>
      <w:r>
        <w:rPr>
          <w:rFonts w:ascii="Century" w:hAnsi="Century"/>
          <w:sz w:val="24"/>
          <w:szCs w:val="24"/>
        </w:rPr>
        <w:t>.</w:t>
      </w:r>
    </w:p>
    <w:p w14:paraId="3BE19A87" w14:textId="77777777" w:rsidR="0064797B" w:rsidRPr="00AB5BFE" w:rsidRDefault="0064797B" w:rsidP="003E47F9">
      <w:pPr>
        <w:pStyle w:val="Body"/>
        <w:snapToGrid w:val="0"/>
        <w:spacing w:after="0" w:line="276" w:lineRule="auto"/>
        <w:ind w:left="720"/>
        <w:contextualSpacing/>
        <w:rPr>
          <w:rFonts w:ascii="Century" w:hAnsi="Century"/>
          <w:sz w:val="32"/>
          <w:szCs w:val="32"/>
        </w:rPr>
      </w:pPr>
    </w:p>
    <w:p w14:paraId="54FF4FAF" w14:textId="6DFF143F" w:rsidR="00AB5BFE" w:rsidRDefault="00AB5BFE" w:rsidP="003E47F9">
      <w:pPr>
        <w:pStyle w:val="Body"/>
        <w:snapToGrid w:val="0"/>
        <w:spacing w:after="0" w:line="276" w:lineRule="auto"/>
        <w:contextualSpacing/>
        <w:rPr>
          <w:rFonts w:ascii="Century" w:hAnsi="Century" w:cs="Calibri"/>
          <w:sz w:val="28"/>
          <w:szCs w:val="28"/>
        </w:rPr>
      </w:pPr>
    </w:p>
    <w:p w14:paraId="6DB8A726" w14:textId="5FF15D28" w:rsidR="003E47F9" w:rsidRDefault="003E47F9" w:rsidP="003E47F9">
      <w:pPr>
        <w:pStyle w:val="Body"/>
        <w:snapToGrid w:val="0"/>
        <w:spacing w:after="0" w:line="276" w:lineRule="auto"/>
        <w:contextualSpacing/>
        <w:rPr>
          <w:rFonts w:ascii="Century" w:hAnsi="Century" w:cs="Calibri"/>
          <w:sz w:val="28"/>
          <w:szCs w:val="28"/>
        </w:rPr>
      </w:pPr>
    </w:p>
    <w:p w14:paraId="22D0AF2D" w14:textId="11700F2D" w:rsidR="00E5012A" w:rsidRDefault="00B32E47" w:rsidP="0064797B">
      <w:pPr>
        <w:pStyle w:val="Body"/>
        <w:snapToGrid w:val="0"/>
        <w:spacing w:after="0" w:line="240" w:lineRule="auto"/>
        <w:contextualSpacing/>
        <w:rPr>
          <w:rFonts w:ascii="Century" w:hAnsi="Century" w:cs="Calibri"/>
          <w:b/>
          <w:bCs/>
          <w:sz w:val="28"/>
          <w:szCs w:val="28"/>
        </w:rPr>
      </w:pPr>
      <w:r w:rsidRPr="003E47F9">
        <w:rPr>
          <w:rFonts w:ascii="Century" w:hAnsi="Century" w:cs="Calibri"/>
          <w:b/>
          <w:bCs/>
          <w:sz w:val="28"/>
          <w:szCs w:val="28"/>
        </w:rPr>
        <w:t>Questions for Further Study, Reflection, and Application…</w:t>
      </w:r>
    </w:p>
    <w:p w14:paraId="40E5E530" w14:textId="77777777" w:rsidR="003E47F9" w:rsidRPr="003E47F9" w:rsidRDefault="003E47F9" w:rsidP="0064797B">
      <w:pPr>
        <w:pStyle w:val="Body"/>
        <w:snapToGrid w:val="0"/>
        <w:spacing w:after="0" w:line="240" w:lineRule="auto"/>
        <w:contextualSpacing/>
        <w:rPr>
          <w:rFonts w:ascii="Century" w:eastAsia="Arial" w:hAnsi="Century" w:cs="Calibri"/>
          <w:b/>
          <w:bCs/>
          <w:sz w:val="28"/>
          <w:szCs w:val="28"/>
        </w:rPr>
      </w:pPr>
    </w:p>
    <w:p w14:paraId="3100BBD8" w14:textId="29D26084" w:rsidR="00E36495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How might Israel have justified their complacency</w:t>
      </w:r>
      <w:r w:rsidR="003E47F9">
        <w:rPr>
          <w:rFonts w:ascii="Century" w:hAnsi="Century" w:cs="Calibri"/>
          <w:sz w:val="24"/>
          <w:szCs w:val="24"/>
        </w:rPr>
        <w:t xml:space="preserve"> and immobilization</w:t>
      </w:r>
      <w:r w:rsidRPr="003E47F9">
        <w:rPr>
          <w:rFonts w:ascii="Century" w:hAnsi="Century" w:cs="Calibri"/>
          <w:sz w:val="24"/>
          <w:szCs w:val="24"/>
        </w:rPr>
        <w:t xml:space="preserve">? </w:t>
      </w:r>
    </w:p>
    <w:p w14:paraId="6092F1AF" w14:textId="77777777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How did Joshua’s solution (v. 4-6) help overcome Israel’s complacency?</w:t>
      </w:r>
    </w:p>
    <w:p w14:paraId="55A7CEC5" w14:textId="77777777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In what ways have you grown content in God’s present blessings leading to complacency?</w:t>
      </w:r>
    </w:p>
    <w:p w14:paraId="008EE605" w14:textId="200AFA06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>How does trusting God’s sovereignty and goodness overcome a complaining spirit? Do you struggle with complaining, either internally or externally?</w:t>
      </w:r>
    </w:p>
    <w:p w14:paraId="78480B21" w14:textId="43474410" w:rsidR="0005297A" w:rsidRPr="003E47F9" w:rsidRDefault="0005297A" w:rsidP="003E47F9">
      <w:pPr>
        <w:pStyle w:val="Body"/>
        <w:numPr>
          <w:ilvl w:val="0"/>
          <w:numId w:val="21"/>
        </w:numPr>
        <w:snapToGrid w:val="0"/>
        <w:spacing w:after="0" w:line="360" w:lineRule="auto"/>
        <w:contextualSpacing/>
        <w:rPr>
          <w:rFonts w:ascii="Century" w:hAnsi="Century" w:cs="Calibri"/>
          <w:sz w:val="24"/>
          <w:szCs w:val="24"/>
        </w:rPr>
      </w:pPr>
      <w:r w:rsidRPr="003E47F9">
        <w:rPr>
          <w:rFonts w:ascii="Century" w:hAnsi="Century" w:cs="Calibri"/>
          <w:sz w:val="24"/>
          <w:szCs w:val="24"/>
        </w:rPr>
        <w:t xml:space="preserve">What was significant about Joshua receiving his inheritance after everyone else? </w:t>
      </w:r>
    </w:p>
    <w:sectPr w:rsidR="0005297A" w:rsidRPr="003E47F9" w:rsidSect="0062264D">
      <w:headerReference w:type="default" r:id="rId8"/>
      <w:pgSz w:w="12240" w:h="15840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B5C5" w14:textId="77777777" w:rsidR="0085064B" w:rsidRDefault="0085064B">
      <w:r>
        <w:separator/>
      </w:r>
    </w:p>
  </w:endnote>
  <w:endnote w:type="continuationSeparator" w:id="0">
    <w:p w14:paraId="22B84597" w14:textId="77777777" w:rsidR="0085064B" w:rsidRDefault="0085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7E391" w14:textId="77777777" w:rsidR="0085064B" w:rsidRDefault="0085064B">
      <w:r>
        <w:separator/>
      </w:r>
    </w:p>
  </w:footnote>
  <w:footnote w:type="continuationSeparator" w:id="0">
    <w:p w14:paraId="174B5637" w14:textId="77777777" w:rsidR="0085064B" w:rsidRDefault="0085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4BE"/>
    <w:multiLevelType w:val="hybridMultilevel"/>
    <w:tmpl w:val="C8CE3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69E"/>
    <w:multiLevelType w:val="hybridMultilevel"/>
    <w:tmpl w:val="177C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A938B5"/>
    <w:multiLevelType w:val="hybridMultilevel"/>
    <w:tmpl w:val="481A7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D5B"/>
    <w:multiLevelType w:val="hybridMultilevel"/>
    <w:tmpl w:val="1CB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399"/>
    <w:multiLevelType w:val="hybridMultilevel"/>
    <w:tmpl w:val="57F84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1E1139"/>
    <w:multiLevelType w:val="hybridMultilevel"/>
    <w:tmpl w:val="7D16274C"/>
    <w:numStyleLink w:val="Numbered"/>
  </w:abstractNum>
  <w:abstractNum w:abstractNumId="7" w15:restartNumberingAfterBreak="0">
    <w:nsid w:val="26E31E0C"/>
    <w:multiLevelType w:val="hybridMultilevel"/>
    <w:tmpl w:val="DF4E3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A0E9C"/>
    <w:multiLevelType w:val="hybridMultilevel"/>
    <w:tmpl w:val="5BB6D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37526"/>
    <w:multiLevelType w:val="hybridMultilevel"/>
    <w:tmpl w:val="EACE8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0327D"/>
    <w:multiLevelType w:val="hybridMultilevel"/>
    <w:tmpl w:val="2790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727971"/>
    <w:multiLevelType w:val="hybridMultilevel"/>
    <w:tmpl w:val="524C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00426"/>
    <w:multiLevelType w:val="hybridMultilevel"/>
    <w:tmpl w:val="C554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A7F"/>
    <w:multiLevelType w:val="hybridMultilevel"/>
    <w:tmpl w:val="B4B8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32C"/>
    <w:multiLevelType w:val="hybridMultilevel"/>
    <w:tmpl w:val="421C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763F0"/>
    <w:multiLevelType w:val="hybridMultilevel"/>
    <w:tmpl w:val="8BA4B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9F27AC"/>
    <w:multiLevelType w:val="hybridMultilevel"/>
    <w:tmpl w:val="31B0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1CEB"/>
    <w:multiLevelType w:val="hybridMultilevel"/>
    <w:tmpl w:val="42F05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B21A74"/>
    <w:multiLevelType w:val="hybridMultilevel"/>
    <w:tmpl w:val="0CA0B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916FAA"/>
    <w:multiLevelType w:val="hybridMultilevel"/>
    <w:tmpl w:val="58A8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25291E"/>
    <w:multiLevelType w:val="hybridMultilevel"/>
    <w:tmpl w:val="27065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13D0B35"/>
    <w:multiLevelType w:val="hybridMultilevel"/>
    <w:tmpl w:val="42CCF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3376BC"/>
    <w:multiLevelType w:val="hybridMultilevel"/>
    <w:tmpl w:val="D802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2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20"/>
  </w:num>
  <w:num w:numId="17">
    <w:abstractNumId w:val="23"/>
  </w:num>
  <w:num w:numId="18">
    <w:abstractNumId w:val="12"/>
  </w:num>
  <w:num w:numId="19">
    <w:abstractNumId w:val="8"/>
  </w:num>
  <w:num w:numId="20">
    <w:abstractNumId w:val="17"/>
  </w:num>
  <w:num w:numId="21">
    <w:abstractNumId w:val="3"/>
  </w:num>
  <w:num w:numId="22">
    <w:abstractNumId w:val="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27B27"/>
    <w:rsid w:val="0005297A"/>
    <w:rsid w:val="000749EF"/>
    <w:rsid w:val="000A7EDD"/>
    <w:rsid w:val="00112EA0"/>
    <w:rsid w:val="0013590D"/>
    <w:rsid w:val="00170F6C"/>
    <w:rsid w:val="0019306E"/>
    <w:rsid w:val="001B1C1D"/>
    <w:rsid w:val="001B2269"/>
    <w:rsid w:val="001D2AEB"/>
    <w:rsid w:val="001E7CDE"/>
    <w:rsid w:val="002A79ED"/>
    <w:rsid w:val="002C7C3A"/>
    <w:rsid w:val="002F35D9"/>
    <w:rsid w:val="002F6680"/>
    <w:rsid w:val="003152E4"/>
    <w:rsid w:val="00350581"/>
    <w:rsid w:val="003708AB"/>
    <w:rsid w:val="003D003C"/>
    <w:rsid w:val="003E47F9"/>
    <w:rsid w:val="003F6B11"/>
    <w:rsid w:val="00446750"/>
    <w:rsid w:val="004F5006"/>
    <w:rsid w:val="00500254"/>
    <w:rsid w:val="0054350D"/>
    <w:rsid w:val="005C3993"/>
    <w:rsid w:val="00613069"/>
    <w:rsid w:val="0062264D"/>
    <w:rsid w:val="0064797B"/>
    <w:rsid w:val="007017D6"/>
    <w:rsid w:val="00735648"/>
    <w:rsid w:val="007675E8"/>
    <w:rsid w:val="00772139"/>
    <w:rsid w:val="007C0BF6"/>
    <w:rsid w:val="0085064B"/>
    <w:rsid w:val="00920D4A"/>
    <w:rsid w:val="00974105"/>
    <w:rsid w:val="00991153"/>
    <w:rsid w:val="009A17D2"/>
    <w:rsid w:val="00A7176D"/>
    <w:rsid w:val="00A71A0F"/>
    <w:rsid w:val="00AB1AB2"/>
    <w:rsid w:val="00AB5BFE"/>
    <w:rsid w:val="00AF04C1"/>
    <w:rsid w:val="00AF36D5"/>
    <w:rsid w:val="00AF7EE7"/>
    <w:rsid w:val="00B32E47"/>
    <w:rsid w:val="00B40ACA"/>
    <w:rsid w:val="00B8332D"/>
    <w:rsid w:val="00B977FD"/>
    <w:rsid w:val="00BB5E6F"/>
    <w:rsid w:val="00BC1569"/>
    <w:rsid w:val="00BE39D0"/>
    <w:rsid w:val="00D07160"/>
    <w:rsid w:val="00DF5142"/>
    <w:rsid w:val="00E36495"/>
    <w:rsid w:val="00E5012A"/>
    <w:rsid w:val="00ED3161"/>
    <w:rsid w:val="00F302FC"/>
    <w:rsid w:val="00F67F6F"/>
    <w:rsid w:val="00F8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Harbour Shores</cp:lastModifiedBy>
  <cp:revision>5</cp:revision>
  <cp:lastPrinted>2020-06-17T19:46:00Z</cp:lastPrinted>
  <dcterms:created xsi:type="dcterms:W3CDTF">2020-06-18T14:20:00Z</dcterms:created>
  <dcterms:modified xsi:type="dcterms:W3CDTF">2020-06-18T14:53:00Z</dcterms:modified>
</cp:coreProperties>
</file>