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ind w:left="1440" w:firstLine="0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2586354</wp:posOffset>
                </wp:positionH>
                <wp:positionV relativeFrom="line">
                  <wp:posOffset>118745</wp:posOffset>
                </wp:positionV>
                <wp:extent cx="62231" cy="6858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" cy="68580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3.6pt;margin-top:9.4pt;width:4.9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0177B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line">
              <wp:posOffset>2540</wp:posOffset>
            </wp:positionV>
            <wp:extent cx="2061211" cy="802641"/>
            <wp:effectExtent l="0" t="0" r="0" b="0"/>
            <wp:wrapSquare wrapText="bothSides" distL="57150" distR="57150"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1" cy="802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2943935</wp:posOffset>
                </wp:positionH>
                <wp:positionV relativeFrom="line">
                  <wp:posOffset>2540</wp:posOffset>
                </wp:positionV>
                <wp:extent cx="3907715" cy="918211"/>
                <wp:effectExtent l="0" t="0" r="0" b="0"/>
                <wp:wrapSquare wrapText="bothSides" distL="57150" distR="57150" distT="57150" distB="5715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715" cy="9182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Sermon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Series: 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Back to Basics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                                                      Sermon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Title: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Why We Rejoice in Trials                            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Scripture: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Selected Passages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sv-SE"/>
                              </w:rPr>
                              <w:t xml:space="preserve">Pastor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 xml:space="preserve">Chris Fritz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Sun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 xml:space="preserve">day,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August 9, 2020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31.8pt;margin-top:0.2pt;width:307.7pt;height:72.3pt;z-index:251660288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auto"/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Sermon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Series: 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Back to Basics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                                                         Sermon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de-DE"/>
                        </w:rPr>
                        <w:t>Title: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Why We Rejoice in Trials                            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                 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Scripture: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 Selected Passages                                                                  </w:t>
                      </w:r>
                      <w:r>
                        <w:rPr>
                          <w:rFonts w:ascii="Century Gothic" w:hAnsi="Century Gothic"/>
                          <w:rtl w:val="0"/>
                          <w:lang w:val="sv-SE"/>
                        </w:rPr>
                        <w:t xml:space="preserve">Pastor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 xml:space="preserve">Chris Fritz                                                              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Sun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 xml:space="preserve">day,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August 9, 2020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INTRODUCTION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1 Peter 1:3-9 -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Count it all joy, my brothers, when you meet trials of various kinds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 xml:space="preserve">…”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(James 1:2)</w:t>
      </w: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I sought the Lord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, and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He answered me and delivered me from all my fears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. Those who look to Him are radiant, and their faces shall never be ashamed.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This poor man cried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, and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the Lord heard him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and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saved him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out of all his troubles. The angel of the Lord encamps around those who fear Him, and delivers them.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Oh, taste and see that the Lord is good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! Blessed is the man who takes refuge in Him!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(Psalm 34:4-8)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“…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He had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no form or majesty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that we should look at Him, and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no beauty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that we should desire Him. He was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despised and rejected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by men;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a man of sorrows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, and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acquainted with grief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; and as one from whom men hide their faces He was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despised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, and we esteemed Him not. Sure He has borne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our griefs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and carried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our sorrows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; yet we esteemed Him stricken, smitten by God, and afflicted.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(Isaiah 53:2b-4)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“…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who for the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JOY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that was set before Him endured the cross, despising the shame, and is seated at the right hand of the throne of God.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(Hebrews 12:2b)</w:t>
      </w: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I. JOURNEY TO JOY!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1)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love never exempts us from the wilderness.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Amazing Grace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after="0" w:line="288" w:lineRule="auto"/>
        <w:jc w:val="center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Through many dangers, toils and snares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I have already come,</w:t>
      </w:r>
    </w:p>
    <w:p>
      <w:pPr>
        <w:pStyle w:val="Body"/>
        <w:spacing w:after="0" w:line="288" w:lineRule="auto"/>
        <w:jc w:val="center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'Tis grace has brought me safe thus far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, a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nd grace will lead me home.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In the world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you will have tribulation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. But take heart; I have overcome the world.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(John 16:33b)</w:t>
      </w: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Beloved,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do not be surprised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at the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fiery trial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WHEN it comes upon you to test you, as though something strange were happening to you.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But rejoice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insofar as you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share Christ</w:t>
      </w:r>
      <w:r>
        <w:rPr>
          <w:rFonts w:ascii="Arial" w:hAnsi="Arial" w:hint="default"/>
          <w:i w:val="1"/>
          <w:iCs w:val="1"/>
          <w:sz w:val="24"/>
          <w:szCs w:val="24"/>
          <w:u w:val="single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s sufferings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, that you may also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rejoice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and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be glad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WHEN His glory is revealed.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(1 Peter 4:12-13)</w:t>
      </w: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2) The wilderness is undeniably hard.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David (1 Samuel 27:1); Job (Job 10:1); Paul (2 Corinthians 1:8-11)</w:t>
      </w: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3) There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more happening in the wilderness than just pain.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Deuteronomy 8:2-3 -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4) The wilderness is an opportunity for growth in love, joy, faith, and contentment.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Matthew 3:16-4:4 -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When He was reviled, He did not revile in return; when He suffered, He did not threaten,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but continued entrusting Himself to Him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who judges justly.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(1 Peter 2:23)</w:t>
      </w:r>
    </w:p>
    <w:p>
      <w:pPr>
        <w:pStyle w:val="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  <w:tab w:val="left" w:pos="10400"/>
        </w:tabs>
        <w:spacing w:line="288" w:lineRule="auto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  <w:tab w:val="left" w:pos="10400"/>
        </w:tabs>
        <w:spacing w:line="288" w:lineRule="auto"/>
        <w:rPr>
          <w:rFonts w:ascii="Arial" w:cs="Arial" w:hAnsi="Arial" w:eastAsia="Arial"/>
          <w:b w:val="0"/>
          <w:bCs w:val="0"/>
          <w:i w:val="1"/>
          <w:iCs w:val="1"/>
          <w:sz w:val="24"/>
          <w:szCs w:val="24"/>
        </w:rPr>
      </w:pPr>
      <w:r>
        <w:rPr>
          <w:rFonts w:ascii="Arial" w:hAnsi="Arial" w:hint="default"/>
          <w:b w:val="0"/>
          <w:bCs w:val="0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For I consider that the 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sufferings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of this 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present time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are 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not worth comparing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with the 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glory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that 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is to be revealed to us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>.</w:t>
      </w:r>
      <w:r>
        <w:rPr>
          <w:rFonts w:ascii="Arial" w:hAnsi="Arial" w:hint="default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>(Romans 8:18)</w:t>
      </w:r>
    </w:p>
    <w:p>
      <w:pPr>
        <w:pStyle w:val="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  <w:tab w:val="left" w:pos="10400"/>
        </w:tabs>
        <w:spacing w:line="288" w:lineRule="auto"/>
        <w:rPr>
          <w:rFonts w:ascii="Arial" w:cs="Arial" w:hAnsi="Arial" w:eastAsia="Arial"/>
          <w:b w:val="0"/>
          <w:bCs w:val="0"/>
          <w:i w:val="1"/>
          <w:iCs w:val="1"/>
          <w:sz w:val="24"/>
          <w:szCs w:val="24"/>
        </w:rPr>
      </w:pPr>
    </w:p>
    <w:p>
      <w:pPr>
        <w:pStyle w:val="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  <w:tab w:val="left" w:pos="10400"/>
        </w:tabs>
        <w:spacing w:line="288" w:lineRule="auto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In the face of trials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… </w:t>
      </w:r>
    </w:p>
    <w:p>
      <w:pPr>
        <w:pStyle w:val="Body"/>
        <w:spacing w:after="0" w:line="288" w:lineRule="auto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1) Be quick to go to God in prayer.</w:t>
      </w:r>
    </w:p>
    <w:p>
      <w:pPr>
        <w:pStyle w:val="Body"/>
        <w:spacing w:after="0" w:line="288" w:lineRule="auto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2) Be quick to listen to, sympathize with, and pray for others.</w:t>
      </w:r>
    </w:p>
    <w:p>
      <w:pPr>
        <w:pStyle w:val="Body"/>
        <w:spacing w:after="0" w:line="288" w:lineRule="auto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3) Strive to trust God and His Word more than you trust your feelings.</w:t>
      </w:r>
    </w:p>
    <w:p>
      <w:pPr>
        <w:pStyle w:val="Body"/>
        <w:spacing w:after="0" w:line="288" w:lineRule="auto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4) By faith, choose to believe that God knows what is best for His children.</w:t>
      </w:r>
    </w:p>
    <w:p>
      <w:pPr>
        <w:pStyle w:val="Body"/>
        <w:spacing w:after="0" w:line="288" w:lineRule="auto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5) Look to and follow the example of Jesus, who continually entrusted Himself to His Father.</w:t>
      </w: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Questions for Further Study, Reflection, and Application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In 1st Peter 1:3-9, what specifically are we to rejoice in?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Why are we so easily tempted to grumble and complain? What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at the heart of this sin?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Who can always understand and sympathize with the trials and difficulties we face? Why?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Can you think of any verses that teach and explain the certainty of trials and hardships? How can these verses actually be an encouragement to us?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Based on 2nd Corinthians 1:8-11, what did Paul learn from his afflictions? How did he respond? 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did Jesus respond to the trials and temptations He faced? He can we follow His example?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trials are you currently facing? How would God want you to respond to them today?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